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195"/>
        <w:gridCol w:w="6165"/>
      </w:tblGrid>
      <w:tr w:rsidR="47772B9E" w:rsidTr="2C7832B8" w14:paraId="48850EDD">
        <w:trPr>
          <w:trHeight w:val="300"/>
        </w:trPr>
        <w:tc>
          <w:tcPr>
            <w:tcW w:w="3195" w:type="dxa"/>
            <w:tcBorders>
              <w:right w:val="single" w:color="7F7F7F" w:themeColor="text1" w:themeTint="80" w:sz="12"/>
            </w:tcBorders>
            <w:tcMar/>
          </w:tcPr>
          <w:p w:rsidR="47772B9E" w:rsidP="47772B9E" w:rsidRDefault="47772B9E" w14:paraId="62B6658A" w14:textId="72517F16">
            <w:pPr>
              <w:jc w:val="left"/>
              <w:rPr>
                <w:sz w:val="32"/>
                <w:szCs w:val="32"/>
              </w:rPr>
            </w:pPr>
          </w:p>
          <w:p w:rsidR="361357B5" w:rsidP="47772B9E" w:rsidRDefault="361357B5" w14:paraId="1421E89F" w14:textId="26293009">
            <w:pPr>
              <w:jc w:val="left"/>
              <w:rPr>
                <w:noProof w:val="0"/>
                <w:lang w:val="en-US"/>
              </w:rPr>
            </w:pPr>
            <w:r w:rsidR="361357B5">
              <w:drawing>
                <wp:inline wp14:editId="4345F5C6" wp14:anchorId="2FA7FD8D">
                  <wp:extent cx="1609725" cy="642342"/>
                  <wp:effectExtent l="0" t="0" r="0" b="0"/>
                  <wp:docPr id="643367067" name="" title=""/>
                  <wp:cNvGraphicFramePr>
                    <a:graphicFrameLocks noChangeAspect="1"/>
                  </wp:cNvGraphicFramePr>
                  <a:graphic>
                    <a:graphicData uri="http://schemas.openxmlformats.org/drawingml/2006/picture">
                      <pic:pic>
                        <pic:nvPicPr>
                          <pic:cNvPr id="0" name=""/>
                          <pic:cNvPicPr/>
                        </pic:nvPicPr>
                        <pic:blipFill>
                          <a:blip r:embed="R871107774c644dd0">
                            <a:extLst>
                              <a:ext xmlns:a="http://schemas.openxmlformats.org/drawingml/2006/main" uri="{28A0092B-C50C-407E-A947-70E740481C1C}">
                                <a14:useLocalDpi val="0"/>
                              </a:ext>
                            </a:extLst>
                          </a:blip>
                          <a:stretch>
                            <a:fillRect/>
                          </a:stretch>
                        </pic:blipFill>
                        <pic:spPr>
                          <a:xfrm>
                            <a:off x="0" y="0"/>
                            <a:ext cx="1609725" cy="642342"/>
                          </a:xfrm>
                          <a:prstGeom prst="rect">
                            <a:avLst/>
                          </a:prstGeom>
                        </pic:spPr>
                      </pic:pic>
                    </a:graphicData>
                  </a:graphic>
                </wp:inline>
              </w:drawing>
            </w:r>
          </w:p>
        </w:tc>
        <w:tc>
          <w:tcPr>
            <w:tcW w:w="6165" w:type="dxa"/>
            <w:tcBorders>
              <w:left w:val="single" w:color="7F7F7F" w:themeColor="text1" w:themeTint="80" w:sz="12"/>
            </w:tcBorders>
            <w:tcMar/>
          </w:tcPr>
          <w:p w:rsidR="480188B3" w:rsidP="2C7832B8" w:rsidRDefault="480188B3" w14:paraId="281FADD2" w14:textId="59210A72">
            <w:pPr>
              <w:pStyle w:val="Heading1"/>
              <w:spacing w:before="322" w:beforeAutospacing="off" w:after="322" w:afterAutospacing="off"/>
              <w:rPr>
                <w:rFonts w:ascii="Aptos Display" w:hAnsi="Aptos Display" w:eastAsia="" w:cs="" w:asciiTheme="majorAscii" w:hAnsiTheme="majorAscii" w:eastAsiaTheme="majorEastAsia" w:cstheme="majorBidi"/>
                <w:b w:val="1"/>
                <w:bCs w:val="1"/>
                <w:noProof w:val="0"/>
                <w:color w:val="0F4761" w:themeColor="accent1" w:themeTint="FF" w:themeShade="BF"/>
                <w:sz w:val="48"/>
                <w:szCs w:val="48"/>
                <w:lang w:val="en-US" w:eastAsia="ja-JP" w:bidi="ar-SA"/>
              </w:rPr>
            </w:pPr>
            <w:r w:rsidRPr="2C7832B8" w:rsidR="494C0F7C">
              <w:rPr>
                <w:rFonts w:ascii="Aptos Display" w:hAnsi="Aptos Display" w:eastAsia="" w:cs="" w:asciiTheme="majorAscii" w:hAnsiTheme="majorAscii" w:eastAsiaTheme="majorEastAsia" w:cstheme="majorBidi"/>
                <w:b w:val="1"/>
                <w:bCs w:val="1"/>
                <w:noProof w:val="0"/>
                <w:color w:val="0F4761" w:themeColor="accent1" w:themeTint="FF" w:themeShade="BF"/>
                <w:sz w:val="48"/>
                <w:szCs w:val="48"/>
                <w:lang w:val="en-US" w:eastAsia="ja-JP" w:bidi="ar-SA"/>
              </w:rPr>
              <w:t>Policy Refresh Checklist</w:t>
            </w:r>
          </w:p>
        </w:tc>
      </w:tr>
    </w:tbl>
    <w:p xmlns:wp14="http://schemas.microsoft.com/office/word/2010/wordml" w:rsidP="47772B9E" wp14:paraId="4F7C2F01" wp14:textId="7041BEA5">
      <w:pPr>
        <w:spacing w:before="240" w:beforeAutospacing="off" w:after="240" w:afterAutospacing="off"/>
      </w:pPr>
      <w:r w:rsidRPr="7AA58218" w:rsidR="41C05354">
        <w:rPr>
          <w:rFonts w:ascii="Aptos" w:hAnsi="Aptos" w:eastAsia="Aptos" w:cs="Aptos"/>
          <w:b w:val="1"/>
          <w:bCs w:val="1"/>
          <w:noProof w:val="0"/>
          <w:sz w:val="24"/>
          <w:szCs w:val="24"/>
          <w:lang w:val="en-US"/>
        </w:rPr>
        <w:t>Prepared by BuyQ Consulting Services</w:t>
      </w:r>
    </w:p>
    <w:p xmlns:wp14="http://schemas.microsoft.com/office/word/2010/wordml" w:rsidP="7AA58218" wp14:paraId="38380376" wp14:textId="64CE96E8">
      <w:pPr>
        <w:spacing w:before="240" w:beforeAutospacing="off" w:after="240" w:afterAutospacing="off"/>
        <w:rPr>
          <w:rFonts w:ascii="Aptos" w:hAnsi="Aptos" w:eastAsia="Aptos" w:cs="Aptos"/>
          <w:b w:val="1"/>
          <w:bCs w:val="1"/>
          <w:noProof w:val="0"/>
          <w:sz w:val="24"/>
          <w:szCs w:val="24"/>
          <w:lang w:val="en-US"/>
        </w:rPr>
      </w:pPr>
    </w:p>
    <w:p w:rsidR="37F05280" w:rsidP="2C7832B8" w:rsidRDefault="37F05280" w14:paraId="76B8E883" w14:textId="6F26E440">
      <w:pPr>
        <w:spacing w:before="240" w:beforeAutospacing="off" w:after="240" w:afterAutospacing="off"/>
      </w:pPr>
      <w:r w:rsidRPr="2C7832B8" w:rsidR="37F05280">
        <w:rPr>
          <w:rFonts w:ascii="Aptos" w:hAnsi="Aptos" w:eastAsia="Aptos" w:cs="Aptos"/>
          <w:b w:val="1"/>
          <w:bCs w:val="1"/>
          <w:noProof w:val="0"/>
          <w:sz w:val="24"/>
          <w:szCs w:val="24"/>
          <w:lang w:val="en-US"/>
        </w:rPr>
        <w:t>For reviewing and updating procurement policies to fit today’s needs</w:t>
      </w:r>
    </w:p>
    <w:p w:rsidR="37F05280" w:rsidP="2C7832B8" w:rsidRDefault="37F05280" w14:paraId="371444A2" w14:textId="685ACF8F">
      <w:pPr>
        <w:spacing w:before="240" w:beforeAutospacing="off" w:after="240" w:afterAutospacing="off"/>
      </w:pPr>
      <w:r w:rsidRPr="2C7832B8" w:rsidR="37F05280">
        <w:rPr>
          <w:rFonts w:ascii="Aptos" w:hAnsi="Aptos" w:eastAsia="Aptos" w:cs="Aptos"/>
          <w:noProof w:val="0"/>
          <w:sz w:val="24"/>
          <w:szCs w:val="24"/>
          <w:lang w:val="en-US"/>
        </w:rPr>
        <w:t xml:space="preserve">Even solid procurement policies can become outdated as your school or network evolves. This checklist helps you assess what’s working, what’s slowing things down, and where updates could improve both compliance </w:t>
      </w:r>
      <w:r w:rsidRPr="2C7832B8" w:rsidR="37F05280">
        <w:rPr>
          <w:rFonts w:ascii="Aptos" w:hAnsi="Aptos" w:eastAsia="Aptos" w:cs="Aptos"/>
          <w:i w:val="1"/>
          <w:iCs w:val="1"/>
          <w:noProof w:val="0"/>
          <w:sz w:val="24"/>
          <w:szCs w:val="24"/>
          <w:lang w:val="en-US"/>
        </w:rPr>
        <w:t>and</w:t>
      </w:r>
      <w:r w:rsidRPr="2C7832B8" w:rsidR="37F05280">
        <w:rPr>
          <w:rFonts w:ascii="Aptos" w:hAnsi="Aptos" w:eastAsia="Aptos" w:cs="Aptos"/>
          <w:noProof w:val="0"/>
          <w:sz w:val="24"/>
          <w:szCs w:val="24"/>
          <w:lang w:val="en-US"/>
        </w:rPr>
        <w:t xml:space="preserve"> usability.</w:t>
      </w:r>
    </w:p>
    <w:p w:rsidR="2C7832B8" w:rsidRDefault="2C7832B8" w14:paraId="4E29ACD2" w14:textId="736FBEAA"/>
    <w:p w:rsidR="37F05280" w:rsidP="2C7832B8" w:rsidRDefault="37F05280" w14:paraId="59D7EFC6" w14:textId="71FD84B0">
      <w:pPr>
        <w:pStyle w:val="Heading3"/>
        <w:spacing w:before="281" w:beforeAutospacing="off" w:after="281" w:afterAutospacing="off"/>
      </w:pPr>
      <w:r w:rsidRPr="2C7832B8" w:rsidR="37F05280">
        <w:rPr>
          <w:rFonts w:ascii="Aptos" w:hAnsi="Aptos" w:eastAsia="Aptos" w:cs="Aptos"/>
          <w:b w:val="1"/>
          <w:bCs w:val="1"/>
          <w:noProof w:val="0"/>
          <w:sz w:val="28"/>
          <w:szCs w:val="28"/>
          <w:lang w:val="en-US"/>
        </w:rPr>
        <w:t>🔍 Step 1: Check for Clarity</w:t>
      </w:r>
    </w:p>
    <w:p w:rsidR="37F05280" w:rsidP="2C7832B8" w:rsidRDefault="37F05280" w14:paraId="456ADD29" w14:textId="6BDDCDE8">
      <w:pPr>
        <w:pStyle w:val="ListParagraph"/>
        <w:numPr>
          <w:ilvl w:val="0"/>
          <w:numId w:val="23"/>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Are your procurement thresholds (e.g., quotes required, approval levels) clearly defined?</w:t>
      </w:r>
    </w:p>
    <w:p w:rsidR="37F05280" w:rsidP="2C7832B8" w:rsidRDefault="37F05280" w14:paraId="1E3B2E16" w14:textId="593CCD2A">
      <w:pPr>
        <w:pStyle w:val="ListParagraph"/>
        <w:numPr>
          <w:ilvl w:val="0"/>
          <w:numId w:val="23"/>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 xml:space="preserve">Is the policy written in </w:t>
      </w:r>
      <w:r w:rsidRPr="2C7832B8" w:rsidR="37F05280">
        <w:rPr>
          <w:rFonts w:ascii="Aptos" w:hAnsi="Aptos" w:eastAsia="Aptos" w:cs="Aptos"/>
          <w:b w:val="1"/>
          <w:bCs w:val="1"/>
          <w:noProof w:val="0"/>
          <w:sz w:val="24"/>
          <w:szCs w:val="24"/>
          <w:lang w:val="en-US"/>
        </w:rPr>
        <w:t>plain language</w:t>
      </w:r>
      <w:r w:rsidRPr="2C7832B8" w:rsidR="37F05280">
        <w:rPr>
          <w:rFonts w:ascii="Aptos" w:hAnsi="Aptos" w:eastAsia="Aptos" w:cs="Aptos"/>
          <w:noProof w:val="0"/>
          <w:sz w:val="24"/>
          <w:szCs w:val="24"/>
          <w:lang w:val="en-US"/>
        </w:rPr>
        <w:t xml:space="preserve"> that staff can understand?</w:t>
      </w:r>
    </w:p>
    <w:p w:rsidR="37F05280" w:rsidP="2C7832B8" w:rsidRDefault="37F05280" w14:paraId="4D4131F6" w14:textId="60CAA533">
      <w:pPr>
        <w:pStyle w:val="ListParagraph"/>
        <w:numPr>
          <w:ilvl w:val="0"/>
          <w:numId w:val="23"/>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Are common processes (e.g., vendor selection, purchase requests) documented step-by-step?</w:t>
      </w:r>
    </w:p>
    <w:p w:rsidR="2C7832B8" w:rsidRDefault="2C7832B8" w14:paraId="56DFA94E" w14:textId="247EB125"/>
    <w:p w:rsidR="37F05280" w:rsidP="2C7832B8" w:rsidRDefault="37F05280" w14:paraId="26FAB086" w14:textId="649EA05D">
      <w:pPr>
        <w:pStyle w:val="Heading3"/>
        <w:spacing w:before="281" w:beforeAutospacing="off" w:after="281" w:afterAutospacing="off"/>
      </w:pPr>
      <w:r w:rsidRPr="2C7832B8" w:rsidR="37F05280">
        <w:rPr>
          <w:rFonts w:ascii="Aptos" w:hAnsi="Aptos" w:eastAsia="Aptos" w:cs="Aptos"/>
          <w:b w:val="1"/>
          <w:bCs w:val="1"/>
          <w:noProof w:val="0"/>
          <w:sz w:val="28"/>
          <w:szCs w:val="28"/>
          <w:lang w:val="en-US"/>
        </w:rPr>
        <w:t>🔄 Step 2: Review for Relevance</w:t>
      </w:r>
    </w:p>
    <w:p w:rsidR="37F05280" w:rsidP="2C7832B8" w:rsidRDefault="37F05280" w14:paraId="638E1505" w14:textId="48B4E001">
      <w:pPr>
        <w:pStyle w:val="ListParagraph"/>
        <w:numPr>
          <w:ilvl w:val="0"/>
          <w:numId w:val="24"/>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 xml:space="preserve">Does the policy reflect your </w:t>
      </w:r>
      <w:r w:rsidRPr="2C7832B8" w:rsidR="37F05280">
        <w:rPr>
          <w:rFonts w:ascii="Aptos" w:hAnsi="Aptos" w:eastAsia="Aptos" w:cs="Aptos"/>
          <w:b w:val="1"/>
          <w:bCs w:val="1"/>
          <w:noProof w:val="0"/>
          <w:sz w:val="24"/>
          <w:szCs w:val="24"/>
          <w:lang w:val="en-US"/>
        </w:rPr>
        <w:t>current funding sources and compliance rules</w:t>
      </w:r>
      <w:r w:rsidRPr="2C7832B8" w:rsidR="37F05280">
        <w:rPr>
          <w:rFonts w:ascii="Aptos" w:hAnsi="Aptos" w:eastAsia="Aptos" w:cs="Aptos"/>
          <w:noProof w:val="0"/>
          <w:sz w:val="24"/>
          <w:szCs w:val="24"/>
          <w:lang w:val="en-US"/>
        </w:rPr>
        <w:t xml:space="preserve"> (e.g., ESSER, Title I)?</w:t>
      </w:r>
    </w:p>
    <w:p w:rsidR="37F05280" w:rsidP="2C7832B8" w:rsidRDefault="37F05280" w14:paraId="6923156F" w14:textId="6BF953DC">
      <w:pPr>
        <w:pStyle w:val="ListParagraph"/>
        <w:numPr>
          <w:ilvl w:val="0"/>
          <w:numId w:val="24"/>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Are the listed vendors or platforms still accurate and up to date?</w:t>
      </w:r>
    </w:p>
    <w:p w:rsidR="37F05280" w:rsidP="2C7832B8" w:rsidRDefault="37F05280" w14:paraId="58E5CA92" w14:textId="07F08509">
      <w:pPr>
        <w:pStyle w:val="ListParagraph"/>
        <w:numPr>
          <w:ilvl w:val="0"/>
          <w:numId w:val="24"/>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Has your school’s structure or size changed—requiring adjustments to roles/responsibilities?</w:t>
      </w:r>
    </w:p>
    <w:p w:rsidR="2C7832B8" w:rsidRDefault="2C7832B8" w14:paraId="444AC8DB" w14:textId="5DE83A3C"/>
    <w:p w:rsidR="37F05280" w:rsidP="2C7832B8" w:rsidRDefault="37F05280" w14:paraId="538FB783" w14:textId="75430C05">
      <w:pPr>
        <w:pStyle w:val="Heading3"/>
        <w:spacing w:before="281" w:beforeAutospacing="off" w:after="281" w:afterAutospacing="off"/>
      </w:pPr>
      <w:r w:rsidRPr="2C7832B8" w:rsidR="37F05280">
        <w:rPr>
          <w:rFonts w:ascii="Aptos" w:hAnsi="Aptos" w:eastAsia="Aptos" w:cs="Aptos"/>
          <w:b w:val="1"/>
          <w:bCs w:val="1"/>
          <w:noProof w:val="0"/>
          <w:sz w:val="28"/>
          <w:szCs w:val="28"/>
          <w:lang w:val="en-US"/>
        </w:rPr>
        <w:t>⚙️ Step 3: Evaluate Practical Use</w:t>
      </w:r>
    </w:p>
    <w:p w:rsidR="37F05280" w:rsidP="2C7832B8" w:rsidRDefault="37F05280" w14:paraId="3BD0CE9D" w14:textId="44CEF52E">
      <w:pPr>
        <w:pStyle w:val="ListParagraph"/>
        <w:numPr>
          <w:ilvl w:val="0"/>
          <w:numId w:val="25"/>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Is the policy being followed consistently?</w:t>
      </w:r>
    </w:p>
    <w:p w:rsidR="37F05280" w:rsidP="2C7832B8" w:rsidRDefault="37F05280" w14:paraId="08C32CE0" w14:textId="16D3C263">
      <w:pPr>
        <w:pStyle w:val="ListParagraph"/>
        <w:numPr>
          <w:ilvl w:val="0"/>
          <w:numId w:val="25"/>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Have staff received training or onboarding on procurement expectations?</w:t>
      </w:r>
    </w:p>
    <w:p w:rsidR="37F05280" w:rsidP="2C7832B8" w:rsidRDefault="37F05280" w14:paraId="62BF2C95" w14:textId="1157BE53">
      <w:pPr>
        <w:pStyle w:val="ListParagraph"/>
        <w:numPr>
          <w:ilvl w:val="0"/>
          <w:numId w:val="25"/>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Are any rules routinely bypassed (suggesting a need for adjustment)?</w:t>
      </w:r>
    </w:p>
    <w:p w:rsidR="2C7832B8" w:rsidRDefault="2C7832B8" w14:paraId="79446EB1" w14:textId="29F43484"/>
    <w:p w:rsidR="37F05280" w:rsidP="2C7832B8" w:rsidRDefault="37F05280" w14:paraId="60BFCA26" w14:textId="5D1C3D4A">
      <w:pPr>
        <w:pStyle w:val="Heading3"/>
        <w:spacing w:before="281" w:beforeAutospacing="off" w:after="281" w:afterAutospacing="off"/>
      </w:pPr>
      <w:r w:rsidRPr="2C7832B8" w:rsidR="37F05280">
        <w:rPr>
          <w:rFonts w:ascii="Aptos" w:hAnsi="Aptos" w:eastAsia="Aptos" w:cs="Aptos"/>
          <w:b w:val="1"/>
          <w:bCs w:val="1"/>
          <w:noProof w:val="0"/>
          <w:sz w:val="28"/>
          <w:szCs w:val="28"/>
          <w:lang w:val="en-US"/>
        </w:rPr>
        <w:t>📁 Step 4: Document Updates</w:t>
      </w:r>
    </w:p>
    <w:p w:rsidR="37F05280" w:rsidP="2C7832B8" w:rsidRDefault="37F05280" w14:paraId="0810634B" w14:textId="3049CB5F">
      <w:pPr>
        <w:pStyle w:val="ListParagraph"/>
        <w:numPr>
          <w:ilvl w:val="0"/>
          <w:numId w:val="26"/>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Identify sections to revise or simplify</w:t>
      </w:r>
    </w:p>
    <w:p w:rsidR="37F05280" w:rsidP="2C7832B8" w:rsidRDefault="37F05280" w14:paraId="428EA05D" w14:textId="3211D2CC">
      <w:pPr>
        <w:pStyle w:val="ListParagraph"/>
        <w:numPr>
          <w:ilvl w:val="0"/>
          <w:numId w:val="26"/>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Set a date for the next formal policy review</w:t>
      </w:r>
    </w:p>
    <w:p w:rsidR="37F05280" w:rsidP="2C7832B8" w:rsidRDefault="37F05280" w14:paraId="339FAEAF" w14:textId="7449F3FD">
      <w:pPr>
        <w:pStyle w:val="ListParagraph"/>
        <w:numPr>
          <w:ilvl w:val="0"/>
          <w:numId w:val="26"/>
        </w:numPr>
        <w:spacing w:before="240" w:beforeAutospacing="off" w:after="240" w:afterAutospacing="off"/>
        <w:rPr>
          <w:rFonts w:ascii="Aptos" w:hAnsi="Aptos" w:eastAsia="Aptos" w:cs="Aptos"/>
          <w:noProof w:val="0"/>
          <w:sz w:val="24"/>
          <w:szCs w:val="24"/>
          <w:lang w:val="en-US"/>
        </w:rPr>
      </w:pPr>
      <w:r w:rsidRPr="2C7832B8" w:rsidR="37F05280">
        <w:rPr>
          <w:rFonts w:ascii="Aptos" w:hAnsi="Aptos" w:eastAsia="Aptos" w:cs="Aptos"/>
          <w:noProof w:val="0"/>
          <w:sz w:val="24"/>
          <w:szCs w:val="24"/>
          <w:lang w:val="en-US"/>
        </w:rPr>
        <w:t xml:space="preserve">Assign someone to </w:t>
      </w:r>
      <w:r w:rsidRPr="2C7832B8" w:rsidR="37F05280">
        <w:rPr>
          <w:rFonts w:ascii="Aptos" w:hAnsi="Aptos" w:eastAsia="Aptos" w:cs="Aptos"/>
          <w:b w:val="1"/>
          <w:bCs w:val="1"/>
          <w:noProof w:val="0"/>
          <w:sz w:val="24"/>
          <w:szCs w:val="24"/>
          <w:lang w:val="en-US"/>
        </w:rPr>
        <w:t>own</w:t>
      </w:r>
      <w:r w:rsidRPr="2C7832B8" w:rsidR="37F05280">
        <w:rPr>
          <w:rFonts w:ascii="Aptos" w:hAnsi="Aptos" w:eastAsia="Aptos" w:cs="Aptos"/>
          <w:noProof w:val="0"/>
          <w:sz w:val="24"/>
          <w:szCs w:val="24"/>
          <w:lang w:val="en-US"/>
        </w:rPr>
        <w:t xml:space="preserve"> the policy refresh and share updates with staff</w:t>
      </w:r>
    </w:p>
    <w:p w:rsidR="2C7832B8" w:rsidP="2C7832B8" w:rsidRDefault="2C7832B8" w14:paraId="559D211F" w14:textId="591FD4B5">
      <w:pPr>
        <w:spacing w:before="240" w:beforeAutospacing="off" w:after="240" w:afterAutospacing="off"/>
        <w:rPr>
          <w:rFonts w:ascii="Aptos" w:hAnsi="Aptos" w:eastAsia="Aptos" w:cs="Aptos"/>
          <w:b w:val="1"/>
          <w:bCs w:val="1"/>
          <w:noProof w:val="0"/>
          <w:sz w:val="24"/>
          <w:szCs w:val="24"/>
          <w:lang w:val="en-US"/>
        </w:rPr>
      </w:pPr>
    </w:p>
    <w:p w:rsidR="37F05280" w:rsidP="2C7832B8" w:rsidRDefault="37F05280" w14:paraId="6DAF64F0" w14:textId="6F3020F9">
      <w:pPr>
        <w:spacing w:before="240" w:beforeAutospacing="off" w:after="240" w:afterAutospacing="off"/>
      </w:pPr>
      <w:r w:rsidRPr="2C7832B8" w:rsidR="37F05280">
        <w:rPr>
          <w:rFonts w:ascii="Aptos" w:hAnsi="Aptos" w:eastAsia="Aptos" w:cs="Aptos"/>
          <w:b w:val="1"/>
          <w:bCs w:val="1"/>
          <w:noProof w:val="0"/>
          <w:sz w:val="24"/>
          <w:szCs w:val="24"/>
          <w:lang w:val="en-US"/>
        </w:rPr>
        <w:t>Tip:</w:t>
      </w:r>
      <w:r w:rsidRPr="2C7832B8" w:rsidR="37F05280">
        <w:rPr>
          <w:rFonts w:ascii="Aptos" w:hAnsi="Aptos" w:eastAsia="Aptos" w:cs="Aptos"/>
          <w:noProof w:val="0"/>
          <w:sz w:val="24"/>
          <w:szCs w:val="24"/>
          <w:lang w:val="en-US"/>
        </w:rPr>
        <w:t xml:space="preserve"> Consider creating a companion “cheat sheet” version of your policy—a one-pager with thresholds, links, and steps for staff who order supplies.</w:t>
      </w:r>
    </w:p>
    <w:p w:rsidR="2C7832B8" w:rsidP="2C7832B8" w:rsidRDefault="2C7832B8" w14:paraId="2237CDFE" w14:textId="17E8EF52">
      <w:pPr>
        <w:spacing w:before="240" w:beforeAutospacing="off" w:after="240" w:afterAutospacing="off"/>
        <w:rPr>
          <w:rFonts w:ascii="Aptos" w:hAnsi="Aptos" w:eastAsia="Aptos" w:cs="Aptos"/>
          <w:b w:val="0"/>
          <w:bCs w:val="0"/>
          <w:noProof w:val="0"/>
          <w:sz w:val="24"/>
          <w:szCs w:val="24"/>
          <w:lang w:val="en-US"/>
        </w:rPr>
      </w:pPr>
    </w:p>
    <w:sectPr>
      <w:pgSz w:w="12240" w:h="15840" w:orient="portrait"/>
      <w:pgMar w:top="1440" w:right="1440" w:bottom="1440" w:left="1440" w:header="720" w:footer="720" w:gutter="0"/>
      <w:cols w:space="720"/>
      <w:docGrid w:linePitch="360"/>
      <w:footerReference w:type="default" r:id="R4522d85bac534eed"/>
      <w:headerReference w:type="default" r:id="R70094bf4e52749a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Borders>
        <w:top w:val="none" w:color="D9D9D9" w:themeColor="background1" w:themeShade="D9" w:sz="12"/>
        <w:left w:val="none" w:color="D9D9D9" w:themeColor="background1" w:themeShade="D9" w:sz="12"/>
        <w:bottom w:val="none" w:color="D9D9D9" w:themeColor="background1" w:themeShade="D9" w:sz="12"/>
        <w:right w:val="none" w:color="D9D9D9" w:themeColor="background1" w:themeShade="D9" w:sz="12"/>
        <w:insideH w:val="none" w:color="D9D9D9" w:themeColor="background1" w:themeShade="D9" w:sz="12"/>
        <w:insideV w:val="none" w:color="D9D9D9" w:themeColor="background1" w:themeShade="D9" w:sz="12"/>
      </w:tblBorders>
      <w:tblLayout w:type="fixed"/>
      <w:tblLook w:val="06A0" w:firstRow="1" w:lastRow="0" w:firstColumn="1" w:lastColumn="0" w:noHBand="1" w:noVBand="1"/>
    </w:tblPr>
    <w:tblGrid>
      <w:gridCol w:w="3120"/>
      <w:gridCol w:w="3120"/>
      <w:gridCol w:w="3120"/>
    </w:tblGrid>
    <w:tr w:rsidR="47772B9E" w:rsidTr="7B598ED0" w14:paraId="11060A7D">
      <w:trPr>
        <w:trHeight w:val="300"/>
      </w:trPr>
      <w:tc>
        <w:tcPr>
          <w:tcW w:w="3120" w:type="dxa"/>
          <w:tcMar/>
        </w:tcPr>
        <w:p w:rsidR="47772B9E" w:rsidP="47772B9E" w:rsidRDefault="47772B9E" w14:paraId="6FA65B5C" w14:textId="2BB6B5AA">
          <w:pPr>
            <w:pStyle w:val="Header"/>
            <w:bidi w:val="0"/>
            <w:ind w:left="-115"/>
            <w:jc w:val="left"/>
          </w:pPr>
        </w:p>
      </w:tc>
      <w:tc>
        <w:tcPr>
          <w:tcW w:w="3120" w:type="dxa"/>
          <w:tcMar/>
        </w:tcPr>
        <w:p w:rsidR="47772B9E" w:rsidP="47772B9E" w:rsidRDefault="47772B9E" w14:paraId="7D5503DF" w14:textId="599D353C">
          <w:pPr>
            <w:pStyle w:val="Header"/>
            <w:bidi w:val="0"/>
            <w:jc w:val="center"/>
          </w:pPr>
        </w:p>
      </w:tc>
      <w:tc>
        <w:tcPr>
          <w:tcW w:w="3120" w:type="dxa"/>
          <w:tcMar/>
        </w:tcPr>
        <w:p w:rsidR="47772B9E" w:rsidP="7B598ED0" w:rsidRDefault="47772B9E" w14:paraId="7B0E9B44" w14:textId="077B1FF4">
          <w:pPr>
            <w:bidi w:val="0"/>
            <w:ind w:right="-115"/>
            <w:jc w:val="right"/>
          </w:pPr>
          <w:r w:rsidR="7B598ED0">
            <w:drawing>
              <wp:inline wp14:editId="5EA4E48F" wp14:anchorId="110B5C01">
                <wp:extent cx="647700" cy="258409"/>
                <wp:effectExtent l="0" t="0" r="0" b="0"/>
                <wp:docPr id="374920789" name="" title=""/>
                <wp:cNvGraphicFramePr>
                  <a:graphicFrameLocks noChangeAspect="1"/>
                </wp:cNvGraphicFramePr>
                <a:graphic>
                  <a:graphicData uri="http://schemas.openxmlformats.org/drawingml/2006/picture">
                    <pic:pic>
                      <pic:nvPicPr>
                        <pic:cNvPr id="0" name=""/>
                        <pic:cNvPicPr/>
                      </pic:nvPicPr>
                      <pic:blipFill>
                        <a:blip r:embed="Reb1f8a5e078c472e">
                          <a:extLst>
                            <a:ext xmlns:a="http://schemas.openxmlformats.org/drawingml/2006/main" uri="{28A0092B-C50C-407E-A947-70E740481C1C}">
                              <a14:useLocalDpi val="0"/>
                            </a:ext>
                          </a:extLst>
                        </a:blip>
                        <a:stretch>
                          <a:fillRect/>
                        </a:stretch>
                      </pic:blipFill>
                      <pic:spPr>
                        <a:xfrm>
                          <a:off x="0" y="0"/>
                          <a:ext cx="647700" cy="258409"/>
                        </a:xfrm>
                        <a:prstGeom prst="rect">
                          <a:avLst/>
                        </a:prstGeom>
                      </pic:spPr>
                    </pic:pic>
                  </a:graphicData>
                </a:graphic>
              </wp:inline>
            </w:drawing>
          </w:r>
        </w:p>
      </w:tc>
    </w:tr>
  </w:tbl>
  <w:p w:rsidR="47772B9E" w:rsidP="47772B9E" w:rsidRDefault="47772B9E" w14:paraId="29463406" w14:textId="6DC68917">
    <w:pPr>
      <w:pStyle w:val="Footer"/>
      <w:bidi w:val="0"/>
    </w:pPr>
  </w:p>
</w:ftr>
</file>

<file path=word/header2.xml><?xml version="1.0" encoding="utf-8"?>
<w:hdr xmlns:w14="http://schemas.microsoft.com/office/word/2010/wordml" xmlns:w="http://schemas.openxmlformats.org/wordprocessingml/2006/main">
  <w:tbl>
    <w:tblPr>
      <w:tblStyle w:val="TableNormal"/>
      <w:bidiVisual w:val="0"/>
      <w:tblW w:w="0" w:type="auto"/>
      <w:tblBorders>
        <w:top w:val="none" w:color="D9D9D9" w:themeColor="background1" w:themeShade="D9" w:sz="12"/>
        <w:left w:val="none" w:color="D9D9D9" w:themeColor="background1" w:themeShade="D9" w:sz="12"/>
        <w:bottom w:val="none" w:color="D9D9D9" w:themeColor="background1" w:themeShade="D9" w:sz="12"/>
        <w:right w:val="none" w:color="D9D9D9" w:themeColor="background1" w:themeShade="D9" w:sz="12"/>
        <w:insideH w:val="none" w:color="D9D9D9" w:themeColor="background1" w:themeShade="D9" w:sz="12"/>
        <w:insideV w:val="none" w:color="D9D9D9" w:themeColor="background1" w:themeShade="D9" w:sz="12"/>
      </w:tblBorders>
      <w:tblLayout w:type="fixed"/>
      <w:tblLook w:val="06A0" w:firstRow="1" w:lastRow="0" w:firstColumn="1" w:lastColumn="0" w:noHBand="1" w:noVBand="1"/>
    </w:tblPr>
    <w:tblGrid>
      <w:gridCol w:w="3120"/>
      <w:gridCol w:w="3120"/>
      <w:gridCol w:w="3120"/>
    </w:tblGrid>
    <w:tr w:rsidR="7B598ED0" w:rsidTr="7B598ED0" w14:paraId="6E31A8DC">
      <w:trPr>
        <w:trHeight w:val="300"/>
      </w:trPr>
      <w:tc>
        <w:tcPr>
          <w:tcW w:w="3120" w:type="dxa"/>
          <w:tcMar/>
        </w:tcPr>
        <w:p w:rsidR="7B598ED0" w:rsidP="7B598ED0" w:rsidRDefault="7B598ED0" w14:paraId="2E7D1BAC" w14:textId="2DBCBBDC">
          <w:pPr>
            <w:pStyle w:val="Header"/>
            <w:bidi w:val="0"/>
            <w:ind w:left="-115"/>
            <w:jc w:val="left"/>
          </w:pPr>
        </w:p>
      </w:tc>
      <w:tc>
        <w:tcPr>
          <w:tcW w:w="3120" w:type="dxa"/>
          <w:tcMar/>
        </w:tcPr>
        <w:p w:rsidR="7B598ED0" w:rsidP="7B598ED0" w:rsidRDefault="7B598ED0" w14:paraId="0EF2A161" w14:textId="5504DE92">
          <w:pPr>
            <w:pStyle w:val="Header"/>
            <w:bidi w:val="0"/>
            <w:jc w:val="center"/>
          </w:pPr>
        </w:p>
      </w:tc>
      <w:tc>
        <w:tcPr>
          <w:tcW w:w="3120" w:type="dxa"/>
          <w:tcMar/>
        </w:tcPr>
        <w:p w:rsidR="7B598ED0" w:rsidP="7B598ED0" w:rsidRDefault="7B598ED0" w14:paraId="12A0F8DA" w14:textId="63D9DCB4">
          <w:pPr>
            <w:pStyle w:val="Header"/>
            <w:bidi w:val="0"/>
            <w:ind w:right="-115"/>
            <w:jc w:val="right"/>
          </w:pPr>
        </w:p>
      </w:tc>
    </w:tr>
  </w:tbl>
  <w:p w:rsidR="7B598ED0" w:rsidP="7B598ED0" w:rsidRDefault="7B598ED0" w14:paraId="6D68B629" w14:textId="4000DD6E">
    <w:pPr>
      <w:pStyle w:val="Header"/>
      <w:bidi w:val="0"/>
    </w:pPr>
  </w:p>
</w:hdr>
</file>

<file path=word/numbering.xml><?xml version="1.0" encoding="utf-8"?>
<w:numbering xmlns:w="http://schemas.openxmlformats.org/wordprocessingml/2006/main">
  <w:abstractNum xmlns:w="http://schemas.openxmlformats.org/wordprocessingml/2006/main" w:abstractNumId="26">
    <w:nsid w:val="5c443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3d1c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596c8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f0eb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5b7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499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5796f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d115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6f1ea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f0a1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df56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411d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4d45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04666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39bdb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38c6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9da8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112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b887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145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aa07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f4fb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0e1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4fc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21834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ce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98EBE9"/>
    <w:rsid w:val="013AC30A"/>
    <w:rsid w:val="0446AE1E"/>
    <w:rsid w:val="067FE328"/>
    <w:rsid w:val="08F6AE88"/>
    <w:rsid w:val="0A056F1F"/>
    <w:rsid w:val="0FA51B84"/>
    <w:rsid w:val="10F21298"/>
    <w:rsid w:val="11F605EA"/>
    <w:rsid w:val="129F1D0E"/>
    <w:rsid w:val="13F6961E"/>
    <w:rsid w:val="162D556B"/>
    <w:rsid w:val="162D556B"/>
    <w:rsid w:val="184DF9F0"/>
    <w:rsid w:val="1A77C729"/>
    <w:rsid w:val="1ABAEE4A"/>
    <w:rsid w:val="23B08195"/>
    <w:rsid w:val="277139CE"/>
    <w:rsid w:val="2C7832B8"/>
    <w:rsid w:val="301D5EE3"/>
    <w:rsid w:val="302DE811"/>
    <w:rsid w:val="3477EAA9"/>
    <w:rsid w:val="361357B5"/>
    <w:rsid w:val="37F05280"/>
    <w:rsid w:val="395A7299"/>
    <w:rsid w:val="41C05354"/>
    <w:rsid w:val="47772B9E"/>
    <w:rsid w:val="47901B15"/>
    <w:rsid w:val="480188B3"/>
    <w:rsid w:val="494C0F7C"/>
    <w:rsid w:val="49EEE53C"/>
    <w:rsid w:val="502A46FA"/>
    <w:rsid w:val="51EFBB5F"/>
    <w:rsid w:val="5DB64BAE"/>
    <w:rsid w:val="5EAF4BA9"/>
    <w:rsid w:val="6124AE2D"/>
    <w:rsid w:val="6221DCA7"/>
    <w:rsid w:val="63BB1769"/>
    <w:rsid w:val="63BB1769"/>
    <w:rsid w:val="657766AA"/>
    <w:rsid w:val="6598EBE9"/>
    <w:rsid w:val="69DA563F"/>
    <w:rsid w:val="69DA563F"/>
    <w:rsid w:val="70BEDEFD"/>
    <w:rsid w:val="71517AB0"/>
    <w:rsid w:val="72139C28"/>
    <w:rsid w:val="75E8B621"/>
    <w:rsid w:val="79211DF0"/>
    <w:rsid w:val="79211DF0"/>
    <w:rsid w:val="79DAADE5"/>
    <w:rsid w:val="7AA58218"/>
    <w:rsid w:val="7B27E264"/>
    <w:rsid w:val="7B3A28CD"/>
    <w:rsid w:val="7B598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EBE9"/>
  <w15:chartTrackingRefBased/>
  <w15:docId w15:val="{8ABC0A47-C8F3-42E9-B94A-CB35C6C073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772B9E"/>
    <w:pPr>
      <w:spacing/>
      <w:ind w:left="720"/>
      <w:contextualSpacing/>
    </w:pPr>
  </w:style>
  <w:style w:type="paragraph" w:styleId="Header">
    <w:uiPriority w:val="99"/>
    <w:name w:val="header"/>
    <w:basedOn w:val="Normal"/>
    <w:unhideWhenUsed/>
    <w:rsid w:val="47772B9E"/>
    <w:pPr>
      <w:tabs>
        <w:tab w:val="center" w:leader="none" w:pos="4680"/>
        <w:tab w:val="right" w:leader="none" w:pos="9360"/>
      </w:tabs>
      <w:spacing w:after="0" w:line="240" w:lineRule="auto"/>
    </w:pPr>
  </w:style>
  <w:style w:type="paragraph" w:styleId="Footer">
    <w:uiPriority w:val="99"/>
    <w:name w:val="footer"/>
    <w:basedOn w:val="Normal"/>
    <w:unhideWhenUsed/>
    <w:rsid w:val="47772B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395A729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71107774c644dd0" /><Relationship Type="http://schemas.openxmlformats.org/officeDocument/2006/relationships/footer" Target="footer.xml" Id="R4522d85bac534eed" /><Relationship Type="http://schemas.openxmlformats.org/officeDocument/2006/relationships/numbering" Target="numbering.xml" Id="R6b1443f551a14121" /><Relationship Type="http://schemas.microsoft.com/office/2011/relationships/people" Target="people.xml" Id="Rf0d2fcf60e974eee" /><Relationship Type="http://schemas.microsoft.com/office/2011/relationships/commentsExtended" Target="commentsExtended.xml" Id="R01d2cbbd7cc04896" /><Relationship Type="http://schemas.microsoft.com/office/2016/09/relationships/commentsIds" Target="commentsIds.xml" Id="Rad1370712d844ba7" /><Relationship Type="http://schemas.openxmlformats.org/officeDocument/2006/relationships/header" Target="header2.xml" Id="R70094bf4e52749a0" /></Relationships>
</file>

<file path=word/_rels/footer.xml.rels>&#65279;<?xml version="1.0" encoding="utf-8"?><Relationships xmlns="http://schemas.openxmlformats.org/package/2006/relationships"><Relationship Type="http://schemas.openxmlformats.org/officeDocument/2006/relationships/image" Target="/media/image2.png" Id="Reb1f8a5e078c47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2025-05-23T16:51:50.6696548Z</dcterms:created>
  <dcterms:modified xsi:type="dcterms:W3CDTF">2025-05-30T14:33:10.0220212Z</dcterms:modified>
  <dc:creator>Daniela Parra Milic</dc:creator>
  <lastModifiedBy>Daniela Parra Milic</lastModifiedBy>
</coreProperties>
</file>