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195"/>
        <w:gridCol w:w="6165"/>
      </w:tblGrid>
      <w:tr w:rsidR="47772B9E" w:rsidTr="24904428" w14:paraId="48850EDD">
        <w:trPr>
          <w:trHeight w:val="300"/>
        </w:trPr>
        <w:tc>
          <w:tcPr>
            <w:tcW w:w="3195" w:type="dxa"/>
            <w:tcBorders>
              <w:right w:val="single" w:color="7F7F7F" w:themeColor="text1" w:themeTint="80" w:sz="12"/>
            </w:tcBorders>
            <w:tcMar/>
          </w:tcPr>
          <w:p w:rsidR="47772B9E" w:rsidP="47772B9E" w:rsidRDefault="47772B9E" w14:paraId="62B6658A" w14:textId="72517F16">
            <w:pPr>
              <w:jc w:val="left"/>
              <w:rPr>
                <w:sz w:val="32"/>
                <w:szCs w:val="32"/>
              </w:rPr>
            </w:pPr>
          </w:p>
          <w:p w:rsidR="361357B5" w:rsidP="47772B9E" w:rsidRDefault="361357B5" w14:paraId="1421E89F" w14:textId="26293009">
            <w:pPr>
              <w:jc w:val="left"/>
              <w:rPr>
                <w:noProof w:val="0"/>
                <w:lang w:val="en-US"/>
              </w:rPr>
            </w:pPr>
            <w:r w:rsidR="361357B5">
              <w:drawing>
                <wp:inline wp14:editId="4345F5C6" wp14:anchorId="2FA7FD8D">
                  <wp:extent cx="1609725" cy="642342"/>
                  <wp:effectExtent l="0" t="0" r="0" b="0"/>
                  <wp:docPr id="64336706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71107774c644dd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64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left w:val="single" w:color="7F7F7F" w:themeColor="text1" w:themeTint="80" w:sz="12"/>
            </w:tcBorders>
            <w:tcMar/>
          </w:tcPr>
          <w:p w:rsidR="480188B3" w:rsidP="2C7832B8" w:rsidRDefault="480188B3" w14:paraId="281FADD2" w14:textId="744232CD">
            <w:pPr>
              <w:pStyle w:val="Heading1"/>
              <w:spacing w:before="322" w:beforeAutospacing="off" w:after="322" w:afterAutospacing="off"/>
              <w:rPr>
                <w:rFonts w:ascii="Aptos Display" w:hAnsi="Aptos Display" w:eastAsia="" w:cs="" w:asciiTheme="majorAscii" w:hAnsiTheme="majorAscii" w:eastAsiaTheme="majorEastAsia" w:cstheme="majorBidi"/>
                <w:b w:val="1"/>
                <w:bCs w:val="1"/>
                <w:noProof w:val="0"/>
                <w:color w:val="0F4761" w:themeColor="accent1" w:themeTint="FF" w:themeShade="BF"/>
                <w:sz w:val="48"/>
                <w:szCs w:val="48"/>
                <w:lang w:val="en-US" w:eastAsia="ja-JP" w:bidi="ar-SA"/>
              </w:rPr>
            </w:pPr>
            <w:r w:rsidRPr="24904428" w:rsidR="231F24B8">
              <w:rPr>
                <w:rFonts w:ascii="Aptos Display" w:hAnsi="Aptos Display" w:eastAsia="" w:cs="" w:asciiTheme="majorAscii" w:hAnsiTheme="majorAscii" w:eastAsiaTheme="majorEastAsia" w:cstheme="majorBidi"/>
                <w:b w:val="1"/>
                <w:bCs w:val="1"/>
                <w:noProof w:val="0"/>
                <w:color w:val="0F4761" w:themeColor="accent1" w:themeTint="FF" w:themeShade="BF"/>
                <w:sz w:val="48"/>
                <w:szCs w:val="48"/>
                <w:lang w:val="en-US" w:eastAsia="ja-JP" w:bidi="ar-SA"/>
              </w:rPr>
              <w:t xml:space="preserve">Back-to-School Procurement </w:t>
            </w:r>
            <w:r w:rsidRPr="24904428" w:rsidR="253E6FC4">
              <w:rPr>
                <w:rFonts w:ascii="Aptos Display" w:hAnsi="Aptos Display" w:eastAsia="" w:cs="" w:asciiTheme="majorAscii" w:hAnsiTheme="majorAscii" w:eastAsiaTheme="majorEastAsia" w:cstheme="majorBidi"/>
                <w:b w:val="1"/>
                <w:bCs w:val="1"/>
                <w:noProof w:val="0"/>
                <w:color w:val="0F4761" w:themeColor="accent1" w:themeTint="FF" w:themeShade="BF"/>
                <w:sz w:val="48"/>
                <w:szCs w:val="48"/>
                <w:lang w:val="en-US" w:eastAsia="ja-JP" w:bidi="ar-SA"/>
              </w:rPr>
              <w:t>Checkl</w:t>
            </w:r>
            <w:r w:rsidRPr="24904428" w:rsidR="231F24B8">
              <w:rPr>
                <w:rFonts w:ascii="Aptos Display" w:hAnsi="Aptos Display" w:eastAsia="" w:cs="" w:asciiTheme="majorAscii" w:hAnsiTheme="majorAscii" w:eastAsiaTheme="majorEastAsia" w:cstheme="majorBidi"/>
                <w:b w:val="1"/>
                <w:bCs w:val="1"/>
                <w:noProof w:val="0"/>
                <w:color w:val="0F4761" w:themeColor="accent1" w:themeTint="FF" w:themeShade="BF"/>
                <w:sz w:val="48"/>
                <w:szCs w:val="48"/>
                <w:lang w:val="en-US" w:eastAsia="ja-JP" w:bidi="ar-SA"/>
              </w:rPr>
              <w:t>ist</w:t>
            </w:r>
          </w:p>
        </w:tc>
      </w:tr>
    </w:tbl>
    <w:p xmlns:wp14="http://schemas.microsoft.com/office/word/2010/wordml" w:rsidP="62A16410" wp14:paraId="59A3225A" wp14:textId="1DC39955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1D92F27A" w:rsidP="24904428" w:rsidRDefault="1D92F27A" w14:paraId="3EEC2870" w14:textId="38EB16E0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1D92F27A">
        <w:rPr>
          <w:rFonts w:ascii="Aptos" w:hAnsi="Aptos" w:eastAsia="Aptos" w:cs="Aptos"/>
          <w:noProof w:val="0"/>
          <w:sz w:val="24"/>
          <w:szCs w:val="24"/>
          <w:lang w:val="en-US"/>
        </w:rPr>
        <w:t>This ‘</w:t>
      </w: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Back-to-School Procurement </w:t>
      </w:r>
      <w:r w:rsidRPr="24904428" w:rsidR="041FE4EC">
        <w:rPr>
          <w:rFonts w:ascii="Aptos" w:hAnsi="Aptos" w:eastAsia="Aptos" w:cs="Aptos"/>
          <w:noProof w:val="0"/>
          <w:sz w:val="24"/>
          <w:szCs w:val="24"/>
          <w:lang w:val="en-US"/>
        </w:rPr>
        <w:t>C</w:t>
      </w:r>
      <w:r w:rsidRPr="24904428" w:rsidR="1B907830">
        <w:rPr>
          <w:rFonts w:ascii="Aptos" w:hAnsi="Aptos" w:eastAsia="Aptos" w:cs="Aptos"/>
          <w:noProof w:val="0"/>
          <w:sz w:val="24"/>
          <w:szCs w:val="24"/>
          <w:lang w:val="en-US"/>
        </w:rPr>
        <w:t>hecklist</w:t>
      </w:r>
      <w:r w:rsidRPr="24904428" w:rsidR="26CE58B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’ </w:t>
      </w:r>
      <w:r w:rsidRPr="24904428" w:rsidR="4CB5F1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is </w:t>
      </w: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designed for school operations or finance teams to ensure everything is in place before day one.</w:t>
      </w:r>
      <w:r w:rsidRPr="24904428" w:rsidR="7635111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Treat this as a starting place and be sure to tailor it to your </w:t>
      </w:r>
      <w:r w:rsidRPr="24904428" w:rsidR="76351112">
        <w:rPr>
          <w:rFonts w:ascii="Aptos" w:hAnsi="Aptos" w:eastAsia="Aptos" w:cs="Aptos"/>
          <w:noProof w:val="0"/>
          <w:sz w:val="24"/>
          <w:szCs w:val="24"/>
          <w:lang w:val="en-US"/>
        </w:rPr>
        <w:t>schools</w:t>
      </w:r>
      <w:r w:rsidRPr="24904428" w:rsidR="7635111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unique operations.</w:t>
      </w:r>
    </w:p>
    <w:p w:rsidR="6B431714" w:rsidP="24904428" w:rsidRDefault="6B431714" w14:paraId="139AF267" w14:textId="1912C32A">
      <w:pPr>
        <w:pStyle w:val="Heading4"/>
        <w:spacing w:before="319" w:beforeAutospacing="off" w:after="319" w:afterAutospacing="off"/>
      </w:pPr>
      <w:r w:rsidRPr="24904428" w:rsidR="6B4317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🔄 Vendor &amp; Account Updates</w:t>
      </w:r>
    </w:p>
    <w:p w:rsidR="6B431714" w:rsidP="24904428" w:rsidRDefault="6B431714" w14:paraId="4F58AA4C" w14:textId="4CFAB778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Audit top 10–15 vendor accounts for outdated contact info</w:t>
      </w:r>
    </w:p>
    <w:p w:rsidR="6B431714" w:rsidP="24904428" w:rsidRDefault="6B431714" w14:paraId="6FC62C0A" w14:textId="703356EC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Update billing/shipping addresses for any building changes</w:t>
      </w:r>
    </w:p>
    <w:p w:rsidR="6B431714" w:rsidP="24904428" w:rsidRDefault="6B431714" w14:paraId="1AD3B41A" w14:textId="402ABC92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Confirm approval workflows with vendors and internal teams</w:t>
      </w:r>
    </w:p>
    <w:p w:rsidR="6B431714" w:rsidP="24904428" w:rsidRDefault="6B431714" w14:paraId="3CBB8638" w14:textId="20694036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Remove terminated staff from vendor portals and internal systems</w:t>
      </w:r>
    </w:p>
    <w:p w:rsidR="6B431714" w:rsidP="24904428" w:rsidRDefault="6B431714" w14:paraId="7C86818A" w14:textId="5C88F51B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Share updated org charts and key contacts with suppliers</w:t>
      </w:r>
    </w:p>
    <w:p w:rsidR="6B431714" w:rsidP="24904428" w:rsidRDefault="6B431714" w14:paraId="18D3F20C" w14:textId="7A369105">
      <w:pPr>
        <w:pStyle w:val="Heading4"/>
        <w:spacing w:before="319" w:beforeAutospacing="off" w:after="319" w:afterAutospacing="off"/>
      </w:pPr>
      <w:r w:rsidRPr="24904428" w:rsidR="6B4317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📚 Internal Documentation &amp; Knowledge Sharing</w:t>
      </w:r>
    </w:p>
    <w:p w:rsidR="6B431714" w:rsidP="24904428" w:rsidRDefault="6B431714" w14:paraId="2677DF4A" w14:textId="390AC3DA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Review and update internal procurement guide or onboarding docs</w:t>
      </w:r>
    </w:p>
    <w:p w:rsidR="6B431714" w:rsidP="24904428" w:rsidRDefault="6B431714" w14:paraId="73DD8C15" w14:textId="195AFD15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Make preferred vendor list easily accessible to staff</w:t>
      </w:r>
    </w:p>
    <w:p w:rsidR="6B431714" w:rsidP="24904428" w:rsidRDefault="6B431714" w14:paraId="644D8725" w14:textId="2FF549E6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Document internal approval processes for new staff</w:t>
      </w:r>
    </w:p>
    <w:p w:rsidR="6B431714" w:rsidP="24904428" w:rsidRDefault="6B431714" w14:paraId="5C93C592" w14:textId="31D1222B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Schedule training or Q&amp;A session for procurement procedures</w:t>
      </w:r>
    </w:p>
    <w:p w:rsidR="6B431714" w:rsidP="24904428" w:rsidRDefault="6B431714" w14:paraId="7C79A85A" w14:textId="3340DC25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Align purchasing policy with current vendor contracts and procedures</w:t>
      </w:r>
    </w:p>
    <w:p w:rsidR="6B431714" w:rsidP="24904428" w:rsidRDefault="6B431714" w14:paraId="161B5106" w14:textId="41DCA6B6">
      <w:pPr>
        <w:pStyle w:val="Heading4"/>
        <w:spacing w:before="319" w:beforeAutospacing="off" w:after="319" w:afterAutospacing="off"/>
      </w:pPr>
      <w:r w:rsidRPr="24904428" w:rsidR="6B4317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📈 Vendor Communication &amp; Success Metrics</w:t>
      </w:r>
    </w:p>
    <w:p w:rsidR="6B431714" w:rsidP="24904428" w:rsidRDefault="6B431714" w14:paraId="1FB6378E" w14:textId="73DC5BCD">
      <w:pPr>
        <w:pStyle w:val="ListParagraph"/>
        <w:numPr>
          <w:ilvl w:val="0"/>
          <w:numId w:val="3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Reconnect with top suppliers and confirm account manager contacts</w:t>
      </w:r>
    </w:p>
    <w:p w:rsidR="6B431714" w:rsidP="24904428" w:rsidRDefault="6B431714" w14:paraId="4563BAA6" w14:textId="0E8498A2">
      <w:pPr>
        <w:pStyle w:val="ListParagraph"/>
        <w:numPr>
          <w:ilvl w:val="0"/>
          <w:numId w:val="3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Set up quarterly vendor check-ins to review service and performance</w:t>
      </w:r>
    </w:p>
    <w:p w:rsidR="37FA91F6" w:rsidP="24904428" w:rsidRDefault="37FA91F6" w14:paraId="2297A5D8" w14:textId="392B24DE">
      <w:pPr>
        <w:pStyle w:val="ListParagraph"/>
        <w:numPr>
          <w:ilvl w:val="0"/>
          <w:numId w:val="3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37FA91F6">
        <w:rPr>
          <w:rFonts w:ascii="Aptos" w:hAnsi="Aptos" w:eastAsia="Aptos" w:cs="Aptos"/>
          <w:noProof w:val="0"/>
          <w:sz w:val="24"/>
          <w:szCs w:val="24"/>
          <w:lang w:val="en-US"/>
        </w:rPr>
        <w:t>Establish</w:t>
      </w: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3 </w:t>
      </w:r>
      <w:r w:rsidRPr="24904428" w:rsidR="45FEE43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core </w:t>
      </w:r>
      <w:r w:rsidRPr="24904428" w:rsidR="037685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organizational </w:t>
      </w: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KPIs to track throughout the year</w:t>
      </w:r>
      <w:r w:rsidRPr="24904428" w:rsidR="625F6FF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across all vendors</w:t>
      </w:r>
    </w:p>
    <w:p w:rsidR="6B431714" w:rsidP="24904428" w:rsidRDefault="6B431714" w14:paraId="5537ADD6" w14:textId="17399F6A">
      <w:pPr>
        <w:pStyle w:val="ListParagraph"/>
        <w:numPr>
          <w:ilvl w:val="0"/>
          <w:numId w:val="3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Establish </w:t>
      </w:r>
      <w:r w:rsidRPr="24904428" w:rsidR="0AA41D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specific </w:t>
      </w: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shared goals with key suppliers (</w:t>
      </w: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e.g.</w:t>
      </w: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faster delivery, better pricing)</w:t>
      </w:r>
    </w:p>
    <w:p w:rsidR="6B431714" w:rsidP="24904428" w:rsidRDefault="6B431714" w14:paraId="546EBFD1" w14:textId="7E52A11F">
      <w:pPr>
        <w:pStyle w:val="Heading4"/>
        <w:spacing w:before="319" w:beforeAutospacing="off" w:after="319" w:afterAutospacing="off"/>
      </w:pPr>
      <w:r w:rsidRPr="24904428" w:rsidR="6B4317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📦 Supplies &amp; Budgeting</w:t>
      </w:r>
    </w:p>
    <w:p w:rsidR="6B431714" w:rsidP="24904428" w:rsidRDefault="6B431714" w14:paraId="75234791" w14:textId="0B141B48">
      <w:pPr>
        <w:pStyle w:val="ListParagraph"/>
        <w:numPr>
          <w:ilvl w:val="0"/>
          <w:numId w:val="3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Finalize back-to-school supply orders</w:t>
      </w:r>
    </w:p>
    <w:p w:rsidR="6B431714" w:rsidP="24904428" w:rsidRDefault="6B431714" w14:paraId="2AA378AA" w14:textId="5729863B">
      <w:pPr>
        <w:pStyle w:val="ListParagraph"/>
        <w:numPr>
          <w:ilvl w:val="0"/>
          <w:numId w:val="3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Verify delivery schedules and inventory</w:t>
      </w:r>
    </w:p>
    <w:p w:rsidR="6B431714" w:rsidP="24904428" w:rsidRDefault="6B431714" w14:paraId="34F2653F" w14:textId="38AF7FEB">
      <w:pPr>
        <w:pStyle w:val="ListParagraph"/>
        <w:numPr>
          <w:ilvl w:val="0"/>
          <w:numId w:val="3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Check budget allocations by department or grade level</w:t>
      </w:r>
    </w:p>
    <w:p w:rsidR="6B431714" w:rsidP="24904428" w:rsidRDefault="6B431714" w14:paraId="75B2B647" w14:textId="2C4047B4">
      <w:pPr>
        <w:pStyle w:val="ListParagraph"/>
        <w:numPr>
          <w:ilvl w:val="0"/>
          <w:numId w:val="3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Review past year’s purchasing data for trends or overages</w:t>
      </w:r>
    </w:p>
    <w:p w:rsidR="6B431714" w:rsidP="24904428" w:rsidRDefault="6B431714" w14:paraId="5344C2C2" w14:textId="05E54FAE">
      <w:pPr>
        <w:pStyle w:val="Heading4"/>
        <w:spacing w:before="319" w:beforeAutospacing="off" w:after="319" w:afterAutospacing="off"/>
      </w:pPr>
      <w:r w:rsidRPr="24904428" w:rsidR="6B4317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🛠️ System Readiness</w:t>
      </w:r>
    </w:p>
    <w:p w:rsidR="6B431714" w:rsidP="24904428" w:rsidRDefault="6B431714" w14:paraId="446E0F9B" w14:textId="3699F853">
      <w:pPr>
        <w:pStyle w:val="ListParagraph"/>
        <w:numPr>
          <w:ilvl w:val="0"/>
          <w:numId w:val="3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Test procurement systems (internal and vendor portals) for login access</w:t>
      </w:r>
    </w:p>
    <w:p w:rsidR="6B431714" w:rsidP="24904428" w:rsidRDefault="6B431714" w14:paraId="3AF5DFED" w14:textId="72E3B108">
      <w:pPr>
        <w:pStyle w:val="ListParagraph"/>
        <w:numPr>
          <w:ilvl w:val="0"/>
          <w:numId w:val="3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Ensure purchasing platforms are updated with new users and permissions</w:t>
      </w:r>
    </w:p>
    <w:p w:rsidR="6B431714" w:rsidP="24904428" w:rsidRDefault="6B431714" w14:paraId="33B852B3" w14:textId="7BB64245">
      <w:pPr>
        <w:pStyle w:val="ListParagraph"/>
        <w:numPr>
          <w:ilvl w:val="0"/>
          <w:numId w:val="3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Confirm integration with finance/accounting systems</w:t>
      </w:r>
    </w:p>
    <w:p w:rsidR="6B431714" w:rsidP="24904428" w:rsidRDefault="6B431714" w14:paraId="7F841AF6" w14:textId="47A04DAD">
      <w:pPr>
        <w:pStyle w:val="ListParagraph"/>
        <w:numPr>
          <w:ilvl w:val="0"/>
          <w:numId w:val="3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4904428" w:rsidR="6B431714">
        <w:rPr>
          <w:rFonts w:ascii="Aptos" w:hAnsi="Aptos" w:eastAsia="Aptos" w:cs="Aptos"/>
          <w:noProof w:val="0"/>
          <w:sz w:val="24"/>
          <w:szCs w:val="24"/>
          <w:lang w:val="en-US"/>
        </w:rPr>
        <w:t>Set up alerts or reminders for contract renewal dates</w:t>
      </w:r>
    </w:p>
    <w:p w:rsidR="24904428" w:rsidP="24904428" w:rsidRDefault="24904428" w14:paraId="0DFBD3E7" w14:textId="5B81124C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4B1B53F1" wp14:paraId="5C0D3EF9" wp14:textId="294A1521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4522d85bac534eed"/>
      <w:headerReference w:type="default" r:id="R70094bf4e52749a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772B9E" w:rsidTr="7B598ED0" w14:paraId="11060A7D">
      <w:trPr>
        <w:trHeight w:val="300"/>
      </w:trPr>
      <w:tc>
        <w:tcPr>
          <w:tcW w:w="3120" w:type="dxa"/>
          <w:tcMar/>
        </w:tcPr>
        <w:p w:rsidR="47772B9E" w:rsidP="47772B9E" w:rsidRDefault="47772B9E" w14:paraId="6FA65B5C" w14:textId="2BB6B5A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7772B9E" w:rsidP="47772B9E" w:rsidRDefault="47772B9E" w14:paraId="7D5503DF" w14:textId="599D353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7772B9E" w:rsidP="7B598ED0" w:rsidRDefault="47772B9E" w14:paraId="7B0E9B44" w14:textId="077B1FF4">
          <w:pPr>
            <w:bidi w:val="0"/>
            <w:ind w:right="-115"/>
            <w:jc w:val="right"/>
          </w:pPr>
          <w:r w:rsidR="7B598ED0">
            <w:drawing>
              <wp:inline wp14:editId="5EA4E48F" wp14:anchorId="110B5C01">
                <wp:extent cx="647700" cy="258409"/>
                <wp:effectExtent l="0" t="0" r="0" b="0"/>
                <wp:docPr id="37492078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b1f8a5e078c472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258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7772B9E" w:rsidP="47772B9E" w:rsidRDefault="47772B9E" w14:paraId="29463406" w14:textId="6DC68917">
    <w:pPr>
      <w:pStyle w:val="Footer"/>
      <w:bidi w:val="0"/>
    </w:pPr>
  </w:p>
</w:ft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598ED0" w:rsidTr="7B598ED0" w14:paraId="6E31A8DC">
      <w:trPr>
        <w:trHeight w:val="300"/>
      </w:trPr>
      <w:tc>
        <w:tcPr>
          <w:tcW w:w="3120" w:type="dxa"/>
          <w:tcMar/>
        </w:tcPr>
        <w:p w:rsidR="7B598ED0" w:rsidP="7B598ED0" w:rsidRDefault="7B598ED0" w14:paraId="2E7D1BAC" w14:textId="2DBCBB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B598ED0" w:rsidP="7B598ED0" w:rsidRDefault="7B598ED0" w14:paraId="0EF2A161" w14:textId="5504DE9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B598ED0" w:rsidP="7B598ED0" w:rsidRDefault="7B598ED0" w14:paraId="12A0F8DA" w14:textId="63D9DCB4">
          <w:pPr>
            <w:pStyle w:val="Header"/>
            <w:bidi w:val="0"/>
            <w:ind w:right="-115"/>
            <w:jc w:val="right"/>
          </w:pPr>
        </w:p>
      </w:tc>
    </w:tr>
  </w:tbl>
  <w:p w:rsidR="7B598ED0" w:rsidP="7B598ED0" w:rsidRDefault="7B598ED0" w14:paraId="6D68B629" w14:textId="4000DD6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6">
    <w:nsid w:val="7a2f97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5056a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8ed8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00d0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6719c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633a8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4d4c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bc06d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712a2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1c80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c443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3d1c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596c8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f0eb4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5b7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0499d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5796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d1154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6f1e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f0a1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df568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411df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4d459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04666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39bdb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8c6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da8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112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b887d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e145a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4aa0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4fbb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0e11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b4fcc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21834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8ce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98EBE9"/>
    <w:rsid w:val="013AC30A"/>
    <w:rsid w:val="0351E8D8"/>
    <w:rsid w:val="037685A9"/>
    <w:rsid w:val="03FE0F11"/>
    <w:rsid w:val="041FE4EC"/>
    <w:rsid w:val="0446AE1E"/>
    <w:rsid w:val="067FE328"/>
    <w:rsid w:val="08F6AE88"/>
    <w:rsid w:val="0A056F1F"/>
    <w:rsid w:val="0AA41D08"/>
    <w:rsid w:val="0CFE0263"/>
    <w:rsid w:val="0D15C259"/>
    <w:rsid w:val="0DEFA032"/>
    <w:rsid w:val="0FA51B84"/>
    <w:rsid w:val="102B24CB"/>
    <w:rsid w:val="10F21298"/>
    <w:rsid w:val="11F605EA"/>
    <w:rsid w:val="129F1D0E"/>
    <w:rsid w:val="13F6961E"/>
    <w:rsid w:val="162D556B"/>
    <w:rsid w:val="162D556B"/>
    <w:rsid w:val="171A61E1"/>
    <w:rsid w:val="182E4028"/>
    <w:rsid w:val="184DF9F0"/>
    <w:rsid w:val="18C6D312"/>
    <w:rsid w:val="1A77C729"/>
    <w:rsid w:val="1ABAEE4A"/>
    <w:rsid w:val="1B907830"/>
    <w:rsid w:val="1D880B14"/>
    <w:rsid w:val="1D92F27A"/>
    <w:rsid w:val="2087C30B"/>
    <w:rsid w:val="231F24B8"/>
    <w:rsid w:val="23B08195"/>
    <w:rsid w:val="24904428"/>
    <w:rsid w:val="253E6FC4"/>
    <w:rsid w:val="2563E593"/>
    <w:rsid w:val="25FACDDB"/>
    <w:rsid w:val="269C9714"/>
    <w:rsid w:val="26CE58B2"/>
    <w:rsid w:val="277139CE"/>
    <w:rsid w:val="2C7832B8"/>
    <w:rsid w:val="301D5EE3"/>
    <w:rsid w:val="302DE811"/>
    <w:rsid w:val="3477EAA9"/>
    <w:rsid w:val="35ACB261"/>
    <w:rsid w:val="361357B5"/>
    <w:rsid w:val="368C0A95"/>
    <w:rsid w:val="37F05280"/>
    <w:rsid w:val="37FA91F6"/>
    <w:rsid w:val="395A7299"/>
    <w:rsid w:val="39743C4D"/>
    <w:rsid w:val="41C05354"/>
    <w:rsid w:val="436603C2"/>
    <w:rsid w:val="45FEE438"/>
    <w:rsid w:val="46C801EB"/>
    <w:rsid w:val="47772B9E"/>
    <w:rsid w:val="47901B15"/>
    <w:rsid w:val="480188B3"/>
    <w:rsid w:val="494C0F7C"/>
    <w:rsid w:val="49EEE53C"/>
    <w:rsid w:val="4A50A467"/>
    <w:rsid w:val="4B1B53F1"/>
    <w:rsid w:val="4CB5F164"/>
    <w:rsid w:val="502A46FA"/>
    <w:rsid w:val="51EFBB5F"/>
    <w:rsid w:val="568D9FA0"/>
    <w:rsid w:val="5DB64BAE"/>
    <w:rsid w:val="5EAF4BA9"/>
    <w:rsid w:val="6124AE2D"/>
    <w:rsid w:val="6221DCA7"/>
    <w:rsid w:val="625F6FF2"/>
    <w:rsid w:val="62A16410"/>
    <w:rsid w:val="63BB1769"/>
    <w:rsid w:val="63BB1769"/>
    <w:rsid w:val="657766AA"/>
    <w:rsid w:val="6598EBE9"/>
    <w:rsid w:val="69DA563F"/>
    <w:rsid w:val="69DA563F"/>
    <w:rsid w:val="6B431714"/>
    <w:rsid w:val="70BEDEFD"/>
    <w:rsid w:val="71517AB0"/>
    <w:rsid w:val="72139C28"/>
    <w:rsid w:val="75E8B621"/>
    <w:rsid w:val="76351112"/>
    <w:rsid w:val="78716468"/>
    <w:rsid w:val="79211DF0"/>
    <w:rsid w:val="79211DF0"/>
    <w:rsid w:val="79DAADE5"/>
    <w:rsid w:val="7AA58218"/>
    <w:rsid w:val="7B27E264"/>
    <w:rsid w:val="7B3A28CD"/>
    <w:rsid w:val="7B43CB15"/>
    <w:rsid w:val="7B598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EBE9"/>
  <w15:chartTrackingRefBased/>
  <w15:docId w15:val="{8ABC0A47-C8F3-42E9-B94A-CB35C6C073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7772B9E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95A729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71107774c644dd0" /><Relationship Type="http://schemas.openxmlformats.org/officeDocument/2006/relationships/footer" Target="footer.xml" Id="R4522d85bac534eed" /><Relationship Type="http://schemas.openxmlformats.org/officeDocument/2006/relationships/numbering" Target="numbering.xml" Id="R6b1443f551a14121" /><Relationship Type="http://schemas.microsoft.com/office/2011/relationships/people" Target="people.xml" Id="Rf0d2fcf60e974eee" /><Relationship Type="http://schemas.microsoft.com/office/2011/relationships/commentsExtended" Target="commentsExtended.xml" Id="R01d2cbbd7cc04896" /><Relationship Type="http://schemas.microsoft.com/office/2016/09/relationships/commentsIds" Target="commentsIds.xml" Id="Rad1370712d844ba7" /><Relationship Type="http://schemas.openxmlformats.org/officeDocument/2006/relationships/header" Target="header2.xml" Id="R70094bf4e52749a0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eb1f8a5e078c47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2025-05-23T16:51:50.6696548Z</dcterms:created>
  <dcterms:modified xsi:type="dcterms:W3CDTF">2025-07-17T20:24:10.8672803Z</dcterms:modified>
  <dc:creator>Daniela Parra Milic</dc:creator>
  <lastModifiedBy>Daniel  Casselli</lastModifiedBy>
</coreProperties>
</file>